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AAC" w:rsidRPr="0051076C" w:rsidP="007B7A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DB0A9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529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-2101/2025</w:t>
      </w:r>
    </w:p>
    <w:p w:rsidR="007B7AAC" w:rsidRPr="0051076C" w:rsidP="007B7AAC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DB0A99">
        <w:rPr>
          <w:rFonts w:ascii="Tahoma" w:hAnsi="Tahoma" w:cs="Tahoma"/>
          <w:b/>
          <w:bCs/>
          <w:sz w:val="20"/>
          <w:szCs w:val="20"/>
        </w:rPr>
        <w:t>86MS0005-01-2025-003324-55</w:t>
      </w:r>
    </w:p>
    <w:p w:rsidR="007B7AAC" w:rsidRPr="0051076C" w:rsidP="007B7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7B7AAC" w:rsidRPr="0051076C" w:rsidP="007B7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B7AAC" w:rsidRPr="0051076C" w:rsidP="007B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 w:rsidR="00DB0A9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7B7AAC" w:rsidRPr="0051076C" w:rsidP="007B7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Демина Владислава Витальевича*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уроженца </w:t>
      </w:r>
      <w:r w:rsidR="00BB2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="00BB2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="00BB2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BB2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="00BB2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B7AAC" w:rsidRPr="0051076C" w:rsidP="007B7A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7B7AAC" w:rsidRPr="0051076C" w:rsidP="007B7A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Демин В.В.,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15.04.2025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18:06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Нефтеюганск-Сургут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A44294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 w:rsidR="007B7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 w:rsidR="007B7A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Демин В.В. вину не признал и просил </w:t>
      </w:r>
      <w:r w:rsidR="000338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дело об административном правонарушении прекратить, поскольку полагает, что он совершил обгон в 00:42 часов в том месте, где  действие знака 3.20 уже было прекращено, так как на видео записи в 00:37 часов с левой и правой стороны имеются асфальтированные примыкающие дороги, которые образуют перекресток и прекращают действие знака</w:t>
      </w:r>
      <w:r w:rsidR="00E87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3.20 «обгон запрещен </w:t>
      </w:r>
      <w:r w:rsidR="00E87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ПДД РФ</w:t>
      </w:r>
      <w:r w:rsidR="000338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</w:t>
      </w:r>
      <w:r w:rsidR="00BB2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заслушав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7B7AAC" w:rsidRPr="0051076C" w:rsidP="007B7AA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="00A44294">
        <w:rPr>
          <w:color w:val="0D0D0D" w:themeColor="text1" w:themeTint="F2"/>
          <w:szCs w:val="28"/>
        </w:rPr>
        <w:t>639048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A44294">
        <w:rPr>
          <w:color w:val="0D0D0D" w:themeColor="text1" w:themeTint="F2"/>
          <w:szCs w:val="28"/>
        </w:rPr>
        <w:t>15.04.</w:t>
      </w:r>
      <w:r>
        <w:rPr>
          <w:color w:val="0D0D0D" w:themeColor="text1" w:themeTint="F2"/>
          <w:szCs w:val="28"/>
        </w:rPr>
        <w:t>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A44294">
        <w:rPr>
          <w:color w:val="0D0D0D" w:themeColor="text1" w:themeTint="F2"/>
          <w:szCs w:val="28"/>
        </w:rPr>
        <w:t>Демин В.В.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</w:t>
      </w:r>
      <w:r w:rsidRPr="0051076C">
        <w:rPr>
          <w:color w:val="0D0D0D" w:themeColor="text1" w:themeTint="F2"/>
          <w:szCs w:val="28"/>
        </w:rPr>
        <w:t>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указал;</w:t>
      </w:r>
    </w:p>
    <w:p w:rsidR="007B7AAC" w:rsidRPr="0083499E" w:rsidP="007B7A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15.04.2025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A442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Нефтеюганск-Сургут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A442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="00A442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совершении обгона впереди идущего транспортного средства совершил выезд на полосу, </w:t>
      </w:r>
      <w:r w:rsidRPr="0083499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предназначенную для встречного </w:t>
      </w:r>
      <w:r w:rsidRPr="0083499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 зоне действия дорожн</w:t>
      </w:r>
      <w:r w:rsidRPr="0083499E" w:rsidR="00A4429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ого знака 3.20 «Обгон запрещен». </w:t>
      </w:r>
      <w:r w:rsidRPr="0083499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 w:rsidRPr="0083499E"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Демин В.В.</w:t>
      </w:r>
      <w:r w:rsidRPr="0083499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83499E" w:rsidR="00A4429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не согласен</w:t>
      </w:r>
      <w:r w:rsidRPr="008349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F11D5B" w:rsidRPr="0083499E" w:rsidP="007B7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идет ремонт дорог, в 00:32 часов справа имеется дорожный знак 3.20 «Обгон запрещен», в 00:42 водитель автомобиля 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совершает манёвр обгона с выездом на полосу дороги, предназначенную для встречн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ого движения, 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 00:37 часов слева имеется част</w:t>
      </w:r>
      <w:r w:rsidR="005518D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ь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 w:rsidR="00D4469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строящейся 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дороги, которая идет вдоль проезжей части, справа от дороги не имеется примыкания или разветвления дорог.</w:t>
      </w:r>
    </w:p>
    <w:p w:rsidR="007B7AAC" w:rsidRPr="0083499E" w:rsidP="007B7AA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83499E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</w:t>
      </w:r>
      <w:r w:rsidRPr="0083499E" w:rsidR="00A44294">
        <w:rPr>
          <w:color w:val="0D0D0D" w:themeColor="text1" w:themeTint="F2"/>
          <w:szCs w:val="28"/>
        </w:rPr>
        <w:t>го знака 3.20 «Обгон запрещен»</w:t>
      </w:r>
      <w:r w:rsidRPr="0083499E">
        <w:rPr>
          <w:color w:val="0D0D0D" w:themeColor="text1" w:themeTint="F2"/>
          <w:szCs w:val="28"/>
        </w:rPr>
        <w:t xml:space="preserve">, запрещающего обгон в районе </w:t>
      </w:r>
      <w:r w:rsidRPr="0083499E" w:rsidR="00A44294">
        <w:rPr>
          <w:color w:val="0D0D0D" w:themeColor="text1" w:themeTint="F2"/>
          <w:szCs w:val="28"/>
        </w:rPr>
        <w:t>41 км автодороги Нефтеюганск-Сургут Нефтеюганского района</w:t>
      </w:r>
      <w:r w:rsidR="00D44694">
        <w:rPr>
          <w:color w:val="0D0D0D" w:themeColor="text1" w:themeTint="F2"/>
          <w:szCs w:val="28"/>
        </w:rPr>
        <w:t>, перекрёстков на данном километре дороги нет.</w:t>
      </w:r>
    </w:p>
    <w:p w:rsidR="007B7AAC" w:rsidRPr="0083499E" w:rsidP="007B7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7B7AAC" w:rsidRPr="0083499E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ом наступления тяжких последствий, в связи с чем ответственности за него, по смыслу </w:t>
      </w:r>
      <w:hyperlink r:id="rId4" w:history="1">
        <w:r w:rsidRPr="0083499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83499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83499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положениями </w:t>
      </w:r>
      <w:hyperlink r:id="rId7" w:history="1">
        <w:r w:rsidRPr="0083499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7AAC" w:rsidRPr="0083499E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B7AAC" w:rsidRPr="0083499E" w:rsidP="007B7AA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3499E">
        <w:rPr>
          <w:color w:val="0D0D0D" w:themeColor="text1" w:themeTint="F2"/>
          <w:szCs w:val="28"/>
        </w:rPr>
        <w:t>Обгоном в соответ</w:t>
      </w:r>
      <w:r w:rsidRPr="0083499E">
        <w:rPr>
          <w:color w:val="0D0D0D" w:themeColor="text1" w:themeTint="F2"/>
          <w:szCs w:val="28"/>
        </w:rPr>
        <w:t>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</w:t>
      </w:r>
      <w:r w:rsidRPr="0083499E">
        <w:rPr>
          <w:color w:val="0D0D0D" w:themeColor="text1" w:themeTint="F2"/>
          <w:szCs w:val="28"/>
        </w:rPr>
        <w:t xml:space="preserve"> (сторону проезжей части).</w:t>
      </w:r>
    </w:p>
    <w:p w:rsidR="007B7AAC" w:rsidRPr="0083499E" w:rsidP="007B7AA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3499E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11D5B" w:rsidRPr="0083499E" w:rsidP="00F11D5B">
      <w:pPr>
        <w:spacing w:after="0" w:line="240" w:lineRule="auto"/>
        <w:ind w:firstLine="567"/>
        <w:jc w:val="both"/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83499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Согласно  п.2 ПДД РФ, 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"Перекресток" - место 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прилегающих территорий.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:rsidR="00F11D5B" w:rsidRPr="0083499E" w:rsidP="00F11D5B">
      <w:pPr>
        <w:spacing w:after="0" w:line="240" w:lineRule="auto"/>
        <w:ind w:firstLine="567"/>
        <w:jc w:val="both"/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Согласно п. 3 приложению 1 к ПДД РФ, 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 действия </w:t>
      </w:r>
      <w:hyperlink r:id="rId8" w:anchor="dst100542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знаков 3.16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dst100548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3.20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dst100550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3.22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dst100552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3.24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dst100554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3.26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hyperlink r:id="rId8" w:anchor="dst100558" w:history="1">
        <w:r w:rsidRPr="0083499E">
          <w:rPr>
            <w:rStyle w:val="Hyperlink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3.30</w:t>
        </w:r>
      </w:hyperlink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распространяется от места установки знака до ближайшего перекрестка за ним, а в населенных пунктах при отсутствии перекрестка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1D5B" w:rsidRPr="0083499E" w:rsidP="00F11D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И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з представленной видеозаписи видно, что в период времени с 00:32, когда начинается действия дорожного знака 3.20 «Обгон запрещен и до 00:42 часов, когда совершается обгон водителем автомобиля 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с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выездом на полосу дороги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не усматривается перекрестка, а именно 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пересечения, примыкания или разветвления дорог на одном уровне, который был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менял действия дорожного знака 3.20 «Обгон запрещен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 знаков, которые бы отменяли действие данного дорожного знака также не усматривается. </w:t>
      </w:r>
      <w:r w:rsidR="00D44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строящейся дороги, которая </w:t>
      </w:r>
      <w:r w:rsidRPr="0083499E" w:rsidR="00D4469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имеется </w:t>
      </w:r>
      <w:r w:rsidR="00D4469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слева </w:t>
      </w:r>
      <w:r w:rsidRPr="0083499E" w:rsidR="00D4469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вдоль проезжей части</w:t>
      </w:r>
      <w:r w:rsidR="00D44694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не образует перекрестка, что подтверждается и дислокацией дорожных знаков, где на 41 км автодороги нет перекрестков.</w:t>
      </w:r>
    </w:p>
    <w:p w:rsidR="00F11D5B" w:rsidRPr="0083499E" w:rsidP="00F11D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</w:t>
      </w:r>
      <w:r w:rsidRPr="0083499E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водитель автомобиля 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совершил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обгон впереди движущегося транспортного средства с выездом на полосу встречного движения в  зоне действия дорожного знака 3.20 «Обгон запрещен»</w:t>
      </w:r>
      <w:r w:rsidR="005518D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</w:t>
      </w:r>
      <w:r w:rsidRPr="005518D4" w:rsidR="0055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доводы Демина В.В. в этой части не состоятельны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</w:p>
    <w:p w:rsidR="00F11D5B" w:rsidRPr="0083499E" w:rsidP="00F11D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Факт управления автомобилем 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3499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Деминым В.В. не оспаривается.</w:t>
      </w:r>
    </w:p>
    <w:p w:rsidR="007B7AAC" w:rsidRPr="0051076C" w:rsidP="007B7AA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83499E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</w:t>
      </w:r>
      <w:r w:rsidRPr="0051076C">
        <w:rPr>
          <w:color w:val="0D0D0D" w:themeColor="text1" w:themeTint="F2"/>
          <w:sz w:val="28"/>
          <w:szCs w:val="28"/>
        </w:rPr>
        <w:t xml:space="preserve"> правонарушениях выезд в нару</w:t>
      </w:r>
      <w:r w:rsidRPr="0051076C">
        <w:rPr>
          <w:color w:val="0D0D0D" w:themeColor="text1" w:themeTint="F2"/>
          <w:sz w:val="28"/>
          <w:szCs w:val="28"/>
        </w:rPr>
        <w:t>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акт совершения 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Деминым В.В.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нные документы не содержат. </w:t>
      </w:r>
    </w:p>
    <w:p w:rsidR="007B7AAC" w:rsidRPr="0051076C" w:rsidP="007B7AAC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A44294">
        <w:rPr>
          <w:color w:val="0D0D0D" w:themeColor="text1" w:themeTint="F2"/>
        </w:rPr>
        <w:t>Демина В.В.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7B7AAC" w:rsidRPr="0051076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B7AAC" w:rsidRPr="0051076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7B7AAC" w:rsidRPr="0051076C" w:rsidP="007B7AA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7B7AAC" w:rsidRPr="0051076C" w:rsidP="007B7AA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7AAC" w:rsidRPr="0051076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Демина Владислава Витальевича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</w:t>
      </w:r>
      <w:r w:rsidRPr="0051076C">
        <w:rPr>
          <w:color w:val="0D0D0D" w:themeColor="text1" w:themeTint="F2"/>
          <w:szCs w:val="28"/>
        </w:rPr>
        <w:t xml:space="preserve">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A442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910034884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B7AA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7B7AAC" w:rsidRPr="00052BD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7B7AAC" w:rsidRPr="0051076C" w:rsidP="007B7AA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B7AA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суток со дня вручения или получения копии постановления через мирового судью судебного участка № 1. </w:t>
      </w:r>
    </w:p>
    <w:p w:rsidR="007B7AAC" w:rsidRPr="0051076C" w:rsidP="007B7A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7AAC" w:rsidRPr="0051076C" w:rsidP="007B7AAC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О.В.Вдовина</w:t>
      </w:r>
    </w:p>
    <w:p w:rsidR="007B7AAC" w:rsidP="007B7AAC">
      <w:r>
        <w:t>*</w:t>
      </w:r>
    </w:p>
    <w:p w:rsidR="007B7AAC" w:rsidP="007B7AAC"/>
    <w:p w:rsidR="00BC35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C"/>
    <w:rsid w:val="000338C1"/>
    <w:rsid w:val="00052BDC"/>
    <w:rsid w:val="001F103F"/>
    <w:rsid w:val="003D630E"/>
    <w:rsid w:val="004F131F"/>
    <w:rsid w:val="0051076C"/>
    <w:rsid w:val="005518D4"/>
    <w:rsid w:val="007B7AAC"/>
    <w:rsid w:val="0083499E"/>
    <w:rsid w:val="00A44294"/>
    <w:rsid w:val="00BB2900"/>
    <w:rsid w:val="00BC350F"/>
    <w:rsid w:val="00C8545E"/>
    <w:rsid w:val="00CE61EF"/>
    <w:rsid w:val="00D44694"/>
    <w:rsid w:val="00DB0A99"/>
    <w:rsid w:val="00E8722D"/>
    <w:rsid w:val="00F11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6D7951-3BC3-4886-BC67-3EA4DD33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7A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B7A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7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7B7AAC"/>
    <w:rPr>
      <w:color w:val="0000FF"/>
      <w:u w:val="single"/>
    </w:rPr>
  </w:style>
  <w:style w:type="paragraph" w:styleId="PlainText">
    <w:name w:val="Plain Text"/>
    <w:basedOn w:val="Normal"/>
    <w:link w:val="a0"/>
    <w:rsid w:val="007B7A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B7A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7B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DefaultParagraphFont"/>
    <w:rsid w:val="00CE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www.consultant.ru/document/cons_doc_LAW_502052/bf1f4781b8aa1172e9993c89c36db0dcdc88c495/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